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Ind w:w="-108.0" w:type="dxa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-515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60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PIANO DI LAVORO PUBBLICO ANNUALE DEL DOCENTE A.S.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1i4gvvmky6lf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Nome e cognome del/della docente</w:t>
      </w:r>
      <w:r w:rsidDel="00000000" w:rsidR="00000000" w:rsidRPr="00000000">
        <w:rPr>
          <w:sz w:val="24"/>
          <w:szCs w:val="24"/>
          <w:rtl w:val="0"/>
        </w:rPr>
        <w:t xml:space="preserve">: Simona Niccolai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sz w:val="24"/>
          <w:szCs w:val="24"/>
        </w:rPr>
      </w:pPr>
      <w:bookmarkStart w:colFirst="0" w:colLast="0" w:name="_l4ln8tk5f5mi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sz w:val="24"/>
          <w:szCs w:val="24"/>
          <w:rtl w:val="0"/>
        </w:rPr>
        <w:t xml:space="preserve">: Italiano</w:t>
      </w:r>
    </w:p>
    <w:p w:rsidR="00000000" w:rsidDel="00000000" w:rsidP="00000000" w:rsidRDefault="00000000" w:rsidRPr="00000000" w14:paraId="0000001D">
      <w:pPr>
        <w:keepNext w:val="1"/>
        <w:tabs>
          <w:tab w:val="left" w:leader="none" w:pos="708"/>
        </w:tabs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Libri di testo in uso: Paolucci, Signorini, “La nostra storia, il nostro presente”, vol.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e Sezione: 4H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Indirizzo di studio: 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Comunicare nella propria lingua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Imparare a imparare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Collaborare e partecipare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246.6802978515625" w:lineRule="auto"/>
        <w:ind w:left="105.6000518798828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1.  Seicento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Riforma protestante e Riforma cattolica</w:t>
      </w:r>
    </w:p>
    <w:p w:rsidR="00000000" w:rsidDel="00000000" w:rsidP="00000000" w:rsidRDefault="00000000" w:rsidRPr="00000000" w14:paraId="00000029">
      <w:pPr>
        <w:widowControl w:val="0"/>
        <w:spacing w:before="6.600341796875" w:line="239.9040126800537" w:lineRule="auto"/>
        <w:ind w:left="94.20005798339844" w:right="430.83251953125" w:firstLine="4.20005798339843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widowControl w:val="0"/>
        <w:spacing w:before="6.6802978515625" w:lineRule="auto"/>
        <w:ind w:left="98.40011596679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La Riforma protestante, cause e conseguenze. La Riforma cattolica; guerre religiose in Europa.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comprendere il cambiamento e la diversità dei tempi storici in dimensione diacronica attraverso il confronto fra epoche e in dimensione sincronica attraverso il confronto tra aree geografiche e culturali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sz w:val="24"/>
          <w:szCs w:val="24"/>
          <w:rtl w:val="0"/>
        </w:rPr>
        <w:t xml:space="preserve"> Saper: comprendere la dimensione spaziale e temporale di un evento. Saper individuare le cause e le conseguenze di un fenomeno storico.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le linee generali dei principali fatti storici dall’età moderna al XIX secolo (economia, politica, società);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stabilire le principali relazioni tra fatti storici ed eventi culturali;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utilizzare un lessico specifico il più possibile adeguato.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2. Modelli di stato nel XVII sec.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sz w:val="24"/>
          <w:szCs w:val="24"/>
          <w:rtl w:val="0"/>
        </w:rPr>
        <w:t xml:space="preserve">: il modello monarchico costituzionale e la monarchia assoluta: i regni di Elisabetta I e Luigi XIV.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comprendere il cambiamento e la diversità dei tempi storici in dimensione diacronica attraverso il confronto fra epoche e in dimensione sincronica attraverso il confronto tra aree geografiche e culturali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sz w:val="24"/>
          <w:szCs w:val="24"/>
          <w:rtl w:val="0"/>
        </w:rPr>
        <w:t xml:space="preserve"> Saper: comprendere la dimensione spaziale e temporale di un evento. Saper individuare le cause e le conseguenze di un fenomeno storico.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le linee generali dei principali fatti storici dall’età moderna al XIX secolo (economia, politica, società);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stabilire le principali relazioni tra fatti storici ed eventi culturali;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utilizzare un lessico specifico il più possibile adeguato.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3. </w:t>
      </w: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b w:val="1"/>
          <w:sz w:val="24"/>
          <w:szCs w:val="24"/>
          <w:rtl w:val="0"/>
        </w:rPr>
        <w:t xml:space="preserve">a rivoluzione americana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Conoscenze: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cause della rivoluzione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caratteristiche della società americana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rivoluzione; la Dichiarazione d’indipendenza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nascita degli Stati Uniti d’America: la Costituzione del 1787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comprendere il cambiamento e la diversità dei tempi storici in dimensione diacronica attraverso il confronto fra epoche e in dimensione sincronica attraverso il confronto tra aree geografiche e culturali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sz w:val="24"/>
          <w:szCs w:val="24"/>
          <w:rtl w:val="0"/>
        </w:rPr>
        <w:t xml:space="preserve"> Saper: comprendere la dimensione spaziale e temporale di un evento. Saper individuare le cause e le conseguenze di un fenomeno storico.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le linee generali dei principali fatti storici dall’età moderna al XIX secolo (economia, politica, società);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eventi;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stabilire le principali relazioni tra fatti storici ed eventi culturali;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utilizzare un lessico specifico il più possibile adeguato.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Percorso 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La rivoluzione francese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società francese alla vigilia della rivoluzione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cause della rivoluzione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rivoluzione, le forme di governo, le costituzioni, il Direttorio e la fine della rivoluzione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comprendere il cambiamento e la diversità dei tempi storici in dimensione diacronica attraverso il confronto fra epoche e in dimensione sincronica attraverso il confronto tra aree geografiche e culturali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Saper: comprendere la dimensione spaziale e temporale di un evento. Saper individuare le cause e le conseguenze di un fenomeno storico.</w:t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le linee generali dei principali fatti storici dall’età moderna al XIX secolo (economia, politica, società);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stabilire le principali relazioni tra fatti storici ed eventi culturali;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 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utilizzare un lessico specifico il più possibile adeguato.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Percorso 5. L’età napoleonica</w:t>
      </w:r>
    </w:p>
    <w:p w:rsidR="00000000" w:rsidDel="00000000" w:rsidP="00000000" w:rsidRDefault="00000000" w:rsidRPr="00000000" w14:paraId="0000005F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campagne napoleoniche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l’impero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caduta di Napoleone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comprendere il cambiamento e la diversità dei tempi storici in dimensione diacronica attraverso il confronto fra epoche e in dimensione sincronica attraverso il confronto tra aree geografiche e culturali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Saper: comprendere la dimensione spaziale e temporale di un evento. Saper individuare le cause e le conseguenze di un fenomeno storico.</w:t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minimi: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le linee generali dei principali fatti storici dall’età moderna al XIX secolo (economia, politica, società);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eventi;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stabilire le principali relazioni tra fatti storici ed eventi culturali;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utilizzare un lessico specifico il più possibile adeguato.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sz w:val="24"/>
          <w:szCs w:val="24"/>
          <w:rtl w:val="0"/>
        </w:rPr>
        <w:t xml:space="preserve">I diritti delle donne: la strada verso la parità effettiva.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sz w:val="24"/>
          <w:szCs w:val="24"/>
          <w:rtl w:val="0"/>
        </w:rPr>
        <w:t xml:space="preserve">: collocare l’esperienza personale in un sistema di regole fondato sul reciproco riconoscimento dei diritti e dei doveri correlato alle Cittadinanze. Conoscere i valori che ispirano gli ordinamenti comunitari e internazionali, nonché i loro compiti e funzioni essenziali. Essere consapevoli del valore e delle regole della vita democratica anche attraverso l’approfondimento degli elementi fondamentali del diritto che la regolano, con particolare riferimento al diritto del lavoro.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sz w:val="24"/>
          <w:szCs w:val="24"/>
          <w:rtl w:val="0"/>
        </w:rPr>
        <w:t xml:space="preserve"> - Il caso degli stupri di Nettuno nell’Italia degli anni ‘70. L'immagine della donna attraverso l’arringa di Tina Lagostena Bossi in “Processo per stupro”; La legge contro la violenza sessuale; la strada verso la parità effettiva.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sz w:val="24"/>
          <w:szCs w:val="24"/>
          <w:rtl w:val="0"/>
        </w:rPr>
        <w:t xml:space="preserve">: Esporre in maniera semplice ma corretta gli argomenti trattati; comprendere, se guidati, i testi proposti ed essere in grado di rielaborarli.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sz w:val="24"/>
          <w:szCs w:val="24"/>
          <w:rtl w:val="0"/>
        </w:rPr>
        <w:t xml:space="preserve">: Esporre oralmente e per iscritto i contenuti dell'UdA in forma sostanzialmente corretta.</w:t>
      </w:r>
    </w:p>
    <w:p w:rsidR="00000000" w:rsidDel="00000000" w:rsidP="00000000" w:rsidRDefault="00000000" w:rsidRPr="00000000" w14:paraId="00000073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4819"/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75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Verifiche formative: test, domande e interventi dal posto, correzione dei compiti assegnati a casa, esercizi in classe, mappe, riassunti. Verifiche sommative: prove scritte strutturate o non strutturate (questionari, temi, problemi, esercizi, relazioni), prove orali, esercitazioni svolte in classe o assegnate per casa. Numero minimo di verifiche per quadrimestre: due.</w:t>
      </w:r>
    </w:p>
    <w:p w:rsidR="00000000" w:rsidDel="00000000" w:rsidP="00000000" w:rsidRDefault="00000000" w:rsidRPr="00000000" w14:paraId="00000076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 fa riferimento ai criteri di valutazione deliberati nel Ptof aggiornamento triennale 22/25;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center" w:leader="none" w:pos="4819"/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B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Presentazione dell’unità formativa; lezione frontale e dialogata;  analisi dei materiali proposti; predisposizione durante la lezione di sintesi e mappe per facilitare l’apprendimento;  Presentazioni multimediali. BYOD, Peer tutoring, apprendimento cooperativo a coppie o piccoli gruppi.</w:t>
      </w:r>
    </w:p>
    <w:p w:rsidR="00000000" w:rsidDel="00000000" w:rsidP="00000000" w:rsidRDefault="00000000" w:rsidRPr="00000000" w14:paraId="0000007C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4819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Pisa li ……19/11/2024…</w:t>
        <w:tab/>
        <w:t xml:space="preserve">                                   la docente……Simona Niccolai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